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ECC" w:rsidRDefault="00BB0ECC" w:rsidP="00BB0ECC">
      <w:pPr>
        <w:pStyle w:val="a3"/>
        <w:shd w:val="clear" w:color="auto" w:fill="FFFFFF"/>
        <w:spacing w:before="0" w:beforeAutospacing="0"/>
        <w:rPr>
          <w:rFonts w:ascii="Inter" w:hAnsi="Inter"/>
          <w:color w:val="212529"/>
        </w:rPr>
      </w:pPr>
      <w:bookmarkStart w:id="0" w:name="_GoBack"/>
      <w:r>
        <w:rPr>
          <w:rFonts w:ascii="Inter" w:hAnsi="Inter"/>
          <w:color w:val="212529"/>
        </w:rPr>
        <w:t>ЭКОЛОГИЧЕСКОЕ ПРОСВЕЩЕНИЕ</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xml:space="preserve">Информация о состоянии окружающей среды на территории муниципального образования </w:t>
      </w:r>
      <w:proofErr w:type="spellStart"/>
      <w:r>
        <w:rPr>
          <w:rFonts w:ascii="Inter" w:hAnsi="Inter"/>
          <w:color w:val="212529"/>
        </w:rPr>
        <w:t>Барышевского</w:t>
      </w:r>
      <w:proofErr w:type="spellEnd"/>
      <w:r>
        <w:rPr>
          <w:rFonts w:ascii="Inter" w:hAnsi="Inter"/>
          <w:color w:val="212529"/>
        </w:rPr>
        <w:t xml:space="preserve"> сельсовета Новосибирского района</w:t>
      </w:r>
      <w:r>
        <w:rPr>
          <w:rFonts w:ascii="Inter" w:hAnsi="Inter"/>
          <w:color w:val="212529"/>
        </w:rPr>
        <w:t xml:space="preserve"> Новосибирской области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Органы местного самоуправления являются субъектами природоохранной деятельности, и согласно ст. 1 Федерального закона «Об охране окружающей среды» осуществляют деятельность, направленную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целом экологическая ситуация на территории муниципального образования   благоприятная.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Основными источниками загрязнения окружающей среды в поселении являются автотранспорт, твёрдые коммунальные отходы (далее ТКО), отходы от деятельности предприятий.</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Решена проблема сбора и утилизации бытовых отходов. Вывоз твердых коммунальных отходов осуществляет региональный оператор.</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Автодорожная сеть на территории поселения представлена участками межмуниципального значения и сетью автодорог общего пользования местного значения.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Автотранспорт относится к основным источникам загрязнения окружающей среды. Его выбросы оказывают негативное воздействие на состояние атмосферного воздуха жилых зон, а также являются источниками загрязнения сельскохозяйственных земель вдоль автомагистралей.</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xml:space="preserve">Действующих объектов специального назначения – скотомогильников и </w:t>
      </w:r>
      <w:proofErr w:type="spellStart"/>
      <w:r>
        <w:rPr>
          <w:rFonts w:ascii="Inter" w:hAnsi="Inter"/>
          <w:color w:val="212529"/>
        </w:rPr>
        <w:t>биозахоронений</w:t>
      </w:r>
      <w:proofErr w:type="spellEnd"/>
      <w:r>
        <w:rPr>
          <w:rFonts w:ascii="Inter" w:hAnsi="Inter"/>
          <w:color w:val="212529"/>
        </w:rPr>
        <w:t>, а также полигонов твердых коммунальных отходов на территории сельского поселения не имеется.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На территории муниципального образования химически-опасных, радиационно-опасных, биологически-опасных объектов нет.</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xml:space="preserve">На территории муниципального образования гидродинамических объектов </w:t>
      </w:r>
      <w:proofErr w:type="gramStart"/>
      <w:r>
        <w:rPr>
          <w:rFonts w:ascii="Inter" w:hAnsi="Inter"/>
          <w:color w:val="212529"/>
        </w:rPr>
        <w:t xml:space="preserve">нет,   </w:t>
      </w:r>
      <w:proofErr w:type="gramEnd"/>
      <w:r>
        <w:rPr>
          <w:rFonts w:ascii="Inter" w:hAnsi="Inter"/>
          <w:color w:val="212529"/>
        </w:rPr>
        <w:t>нефтепроводов нет, продуктопроводов нет.</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Рисков возникновения землетрясений нет.</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На территории муниципального образования пещеры, рудники, шахты и другие горные выработки отсутствуют.</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На территории муниципального образования лавиноопасные (селеопасные) участки отсутствуют.</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lastRenderedPageBreak/>
        <w:t xml:space="preserve">Для решения проблем по благоустройству населенных пунктов муниципального </w:t>
      </w:r>
      <w:proofErr w:type="gramStart"/>
      <w:r>
        <w:rPr>
          <w:rFonts w:ascii="Inter" w:hAnsi="Inter"/>
          <w:color w:val="212529"/>
        </w:rPr>
        <w:t>образования  решением</w:t>
      </w:r>
      <w:proofErr w:type="gramEnd"/>
      <w:r>
        <w:rPr>
          <w:rFonts w:ascii="Inter" w:hAnsi="Inter"/>
          <w:color w:val="212529"/>
        </w:rPr>
        <w:t xml:space="preserve"> Совета депутатов утверждены Правила благоустройства. Вышеуказанный нормативный правовой акт размещен на сайте администрации в информационно-телекоммуникационной сети Интернет.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Администрацией проводятся месячники по уборке территорий поселения весной и осенью. Проводится разъяснительная работа с населением по вопросу обращения с ТКО: о запрете сжигания, "нелегального" размещения мусора, о негативных экологических последствиях.</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xml:space="preserve">Комплекс мероприятий по охране окружающей среды Генеральным планом предусмотрены следующие основные </w:t>
      </w:r>
      <w:proofErr w:type="spellStart"/>
      <w:r>
        <w:rPr>
          <w:rFonts w:ascii="Inter" w:hAnsi="Inter"/>
          <w:color w:val="212529"/>
        </w:rPr>
        <w:t>градоэкологические</w:t>
      </w:r>
      <w:proofErr w:type="spellEnd"/>
      <w:r>
        <w:rPr>
          <w:rFonts w:ascii="Inter" w:hAnsi="Inter"/>
          <w:color w:val="212529"/>
        </w:rPr>
        <w:t xml:space="preserve"> мероприятия: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1. Перспективное развитие селитебной и рекреационной зон муниципального образования планируется на наиболее благоприятных в экологическом отношении территориях.</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2. Улучшение качества атмосферного воздуха в жилой зоне достигается за счет:</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разработки проектов санитарно-защитных зон промышленных, коммунальных объектов и ферм КРС, озеленения санитарно-защитных зон;</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создание зеленых защитных полос вдоль автомобильных дорог;</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озеленение и благоустройство населенных пунктов.</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3. Разработка комплекса мероприятий по охране водных ресурсов, включающего следующие аспекты: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xml:space="preserve">- озеленение и благоустройства </w:t>
      </w:r>
      <w:proofErr w:type="spellStart"/>
      <w:r>
        <w:rPr>
          <w:rFonts w:ascii="Inter" w:hAnsi="Inter"/>
          <w:color w:val="212529"/>
        </w:rPr>
        <w:t>водоохранных</w:t>
      </w:r>
      <w:proofErr w:type="spellEnd"/>
      <w:r>
        <w:rPr>
          <w:rFonts w:ascii="Inter" w:hAnsi="Inter"/>
          <w:color w:val="212529"/>
        </w:rPr>
        <w:t xml:space="preserve"> зон.</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4. Обеспечение населения питьевой водой, соответствующей санитарно-гигиеническим нормативам за счет:</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выявления и подготовки к эксплуатации новых и находящихся в резерве месторождений пресных подземных вод.</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5. Снижение загрязнения почв предусмотрено за счет:</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выявление всех несанкционированных свалок и их рекультивация.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xml:space="preserve">- обеспечение отдельного сбора и сдачи на переработку или захоронение токсичных отходов (по </w:t>
      </w:r>
      <w:proofErr w:type="gramStart"/>
      <w:r>
        <w:rPr>
          <w:rFonts w:ascii="Inter" w:hAnsi="Inter"/>
          <w:color w:val="212529"/>
        </w:rPr>
        <w:t>классам  опасности</w:t>
      </w:r>
      <w:proofErr w:type="gramEnd"/>
      <w:r>
        <w:rPr>
          <w:rFonts w:ascii="Inter" w:hAnsi="Inter"/>
          <w:color w:val="212529"/>
        </w:rPr>
        <w:t>).</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заключение договора на сдачу вторичного сырья для дальнейшей переработки.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восстановление почвенного плодородия, обеспечение прироста гумуса, проведение мелиоративных работ в поселении;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озеленение оврагов в целях укрепление грунтов и предотвращению их дальнейшего развития.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lastRenderedPageBreak/>
        <w:t>***</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Администрация,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своей деятельности мы пытаемся помочь нашим пользователям в решении следующих вопросов:</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Как защитить свои экологические права?</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Что такое экологические права?</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Право на участие в принятии решений по охране окружающей среды.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Международные соглашения (сохранение природных ресурсов).</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Право на доступ к экологической информации, включающее в себя: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понятие экологической информации;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классификация экологической информации;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источники и носители экологической информации;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ресурсы экологической информации, доступные населению через библиотеки;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lastRenderedPageBreak/>
        <w:t>* книги, периодические издания на традиционных носителях;</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издания на нетрадиционных носителях;</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информационные ресурсы Интернет;</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неопубликованные документы.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Можно выделить следующие тематические блоки экологической информации: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социальная экология, рассматривающая взаимоотношения общества и природы;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Источниками экологической информации являются: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документы, содержащие философско-теоретическое и научное осмысление концепции устойчивого развития, глобальных экологических проблем;</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документы о состоянии окружающей среды и мерах по её охране;</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документы, отражающие традиционные знания о природе и природопользовании коренных малочисленных народов Российской Федерации;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lastRenderedPageBreak/>
        <w:t>— нормативно-правовые акты, полностью или частично посвященные вопросам экологии;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документы о деятельности государственных органов и органов местного самоуправления по вопросам, затрагивающим экологические права граждан;</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документы по контролю за соблюдением нормативов, стандартов, а также по лицензированию и сертификации товаров, работ и услуг;</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документы об экологических правонарушениях, преступлениях и мерах по их пресечению и расследованию;</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документы с прогнозами возникновения либо дальнейшего развития экологических ситуаций;</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кадастры природных ресурсов, экологически важных объектов и веществ, образующихся в результате производства или потребления;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данные экологического мониторинга;</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материалы государственного статистического учёта и учёта природных ресурсов (экологического учёта);</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регистры и реестры веществ, объектов и сооружений, имеющих экологическую значимость;</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экологические стандарты для предприятий.</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Документы по экологии на традиционных носителях:</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lastRenderedPageBreak/>
        <w:t>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 «</w:t>
      </w:r>
      <w:proofErr w:type="spellStart"/>
      <w:r>
        <w:rPr>
          <w:rFonts w:ascii="Inter" w:hAnsi="Inter"/>
          <w:color w:val="212529"/>
        </w:rPr>
        <w:t>КонсультантПлюс</w:t>
      </w:r>
      <w:proofErr w:type="spellEnd"/>
      <w:proofErr w:type="gramStart"/>
      <w:r>
        <w:rPr>
          <w:rFonts w:ascii="Inter" w:hAnsi="Inter"/>
          <w:color w:val="212529"/>
        </w:rPr>
        <w:t>»,«</w:t>
      </w:r>
      <w:proofErr w:type="gramEnd"/>
      <w:r>
        <w:rPr>
          <w:rFonts w:ascii="Inter" w:hAnsi="Inter"/>
          <w:color w:val="212529"/>
        </w:rPr>
        <w:t>Кодекс», «Референт», «Гарант», «Свод законов российской империи», профессиональная специализированная справочная система «Эксперт: Экология»).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xml:space="preserve">ДЕЯТЕЛЬНОСТЬ </w:t>
      </w:r>
      <w:proofErr w:type="gramStart"/>
      <w:r>
        <w:rPr>
          <w:rFonts w:ascii="Inter" w:hAnsi="Inter"/>
          <w:color w:val="212529"/>
        </w:rPr>
        <w:t>АДМИНИСТРАЦИИ  ПОСЕЛЕНИЯ</w:t>
      </w:r>
      <w:proofErr w:type="gramEnd"/>
      <w:r>
        <w:rPr>
          <w:rFonts w:ascii="Inter" w:hAnsi="Inter"/>
          <w:color w:val="212529"/>
        </w:rPr>
        <w:t xml:space="preserve"> ПО ЭКОЛОГИЧЕСКОМУ ПРОСВЕЩЕНИЮ</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Памятки и информационные материалы о пожарах в лесах, прибрежных полосах размещены в разделе ГО и ЧС.</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Информация о проводимых мероприятиях размещается в разделе Новости.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Экологические сайты</w:t>
      </w:r>
    </w:p>
    <w:p w:rsidR="00BB0ECC" w:rsidRDefault="00BB0ECC" w:rsidP="00BB0ECC">
      <w:pPr>
        <w:pStyle w:val="a3"/>
        <w:shd w:val="clear" w:color="auto" w:fill="FFFFFF"/>
        <w:spacing w:before="0" w:beforeAutospacing="0"/>
        <w:rPr>
          <w:rFonts w:ascii="Inter" w:hAnsi="Inter"/>
          <w:color w:val="212529"/>
        </w:rPr>
      </w:pPr>
      <w:proofErr w:type="spellStart"/>
      <w:r>
        <w:rPr>
          <w:rFonts w:ascii="Inter" w:hAnsi="Inter"/>
          <w:color w:val="212529"/>
        </w:rPr>
        <w:t>Ecocom</w:t>
      </w:r>
      <w:proofErr w:type="spellEnd"/>
      <w:r>
        <w:rPr>
          <w:rFonts w:ascii="Inter" w:hAnsi="Inter"/>
          <w:color w:val="212529"/>
        </w:rPr>
        <w:t xml:space="preserve"> — </w:t>
      </w:r>
      <w:proofErr w:type="spellStart"/>
      <w:r>
        <w:rPr>
          <w:rFonts w:ascii="Inter" w:hAnsi="Inter"/>
          <w:color w:val="212529"/>
        </w:rPr>
        <w:t>всеобэкологии</w:t>
      </w:r>
      <w:proofErr w:type="spellEnd"/>
      <w:r>
        <w:rPr>
          <w:rFonts w:ascii="Inter" w:hAnsi="Inter"/>
          <w:color w:val="212529"/>
        </w:rPr>
        <w:fldChar w:fldCharType="begin"/>
      </w:r>
      <w:r>
        <w:rPr>
          <w:rFonts w:ascii="Inter" w:hAnsi="Inter"/>
          <w:color w:val="212529"/>
        </w:rPr>
        <w:instrText xml:space="preserve"> HYPERLINK "http://www.ecocommunity.ru/" </w:instrText>
      </w:r>
      <w:r>
        <w:rPr>
          <w:rFonts w:ascii="Inter" w:hAnsi="Inter"/>
          <w:color w:val="212529"/>
        </w:rPr>
        <w:fldChar w:fldCharType="separate"/>
      </w:r>
      <w:r>
        <w:rPr>
          <w:rStyle w:val="a4"/>
          <w:rFonts w:ascii="Inter" w:hAnsi="Inter"/>
          <w:color w:val="CD8CF7"/>
        </w:rPr>
        <w:t> http://www.ecocommunity.ru/</w:t>
      </w:r>
      <w:r>
        <w:rPr>
          <w:rFonts w:ascii="Inter" w:hAnsi="Inter"/>
          <w:color w:val="212529"/>
        </w:rPr>
        <w:fldChar w:fldCharType="end"/>
      </w:r>
      <w:r>
        <w:rPr>
          <w:rFonts w:ascii="Inter" w:hAnsi="Inter"/>
          <w:color w:val="212529"/>
        </w:rPr>
        <w:br/>
        <w:t>FacePla.net — экологический дайджест позитивной информации об экологии и технологии</w:t>
      </w:r>
    </w:p>
    <w:p w:rsidR="00BB0ECC" w:rsidRDefault="00BB0ECC" w:rsidP="00BB0ECC">
      <w:pPr>
        <w:pStyle w:val="a3"/>
        <w:shd w:val="clear" w:color="auto" w:fill="FFFFFF"/>
        <w:spacing w:before="0" w:beforeAutospacing="0"/>
        <w:rPr>
          <w:rFonts w:ascii="Inter" w:hAnsi="Inter"/>
          <w:color w:val="212529"/>
        </w:rPr>
      </w:pPr>
      <w:hyperlink r:id="rId4" w:history="1">
        <w:r>
          <w:rPr>
            <w:rStyle w:val="a4"/>
            <w:rFonts w:ascii="Inter" w:hAnsi="Inter"/>
            <w:color w:val="CD8CF7"/>
          </w:rPr>
          <w:t>http://facepla.net/</w:t>
        </w:r>
      </w:hyperlink>
      <w:r>
        <w:rPr>
          <w:rFonts w:ascii="Inter" w:hAnsi="Inter"/>
          <w:color w:val="212529"/>
        </w:rPr>
        <w:br/>
        <w:t>Saveplanet.su – «Сохраним планету» http://www.saveplanet.su/</w:t>
      </w:r>
      <w:r>
        <w:rPr>
          <w:rFonts w:ascii="Inter" w:hAnsi="Inter"/>
          <w:color w:val="212529"/>
        </w:rPr>
        <w:br/>
        <w:t>Всемирный фонд дикой природы (WWF) http://wwf.panda.org/</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lastRenderedPageBreak/>
        <w:t>Гринпис России http://www.greenpeace.org/russia/ru/</w:t>
      </w:r>
      <w:r>
        <w:rPr>
          <w:rFonts w:ascii="Inter" w:hAnsi="Inter"/>
          <w:color w:val="212529"/>
        </w:rPr>
        <w:br/>
        <w:t>Министерство природных ресурсов России </w:t>
      </w:r>
      <w:hyperlink r:id="rId5" w:history="1">
        <w:r>
          <w:rPr>
            <w:rStyle w:val="a4"/>
            <w:rFonts w:ascii="Inter" w:hAnsi="Inter"/>
            <w:color w:val="CD8CF7"/>
          </w:rPr>
          <w:t>http://www.mnr.gov.ru/</w:t>
        </w:r>
      </w:hyperlink>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систему правовой охраны природы России входят четыре группы юридических мероприятий</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1) правовое регулирование отношений по использованию, сохранению и возобновлению природных ресурсов;</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2) организация воспитания и обучения кадров, финансирование и материально-техническое обеспечение природоохранных действий;</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3) государственный и общественный контроль за выполнением требований охраны природы;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4) юридическая ответственность правонарушителей.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Система экологического законодательства, руководствующаяся идеями основополагающих конституционных актов, включает две подсистемы: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природоохранное</w:t>
      </w:r>
    </w:p>
    <w:p w:rsidR="00BB0ECC" w:rsidRDefault="00BB0ECC" w:rsidP="00BB0ECC">
      <w:pPr>
        <w:pStyle w:val="a3"/>
        <w:shd w:val="clear" w:color="auto" w:fill="FFFFFF"/>
        <w:spacing w:before="0" w:beforeAutospacing="0"/>
        <w:rPr>
          <w:rFonts w:ascii="Inter" w:hAnsi="Inter"/>
          <w:color w:val="212529"/>
        </w:rPr>
      </w:pPr>
      <w:proofErr w:type="spellStart"/>
      <w:r>
        <w:rPr>
          <w:rFonts w:ascii="Inter" w:hAnsi="Inter"/>
          <w:color w:val="212529"/>
        </w:rPr>
        <w:t>природоресурсное</w:t>
      </w:r>
      <w:proofErr w:type="spellEnd"/>
      <w:r>
        <w:rPr>
          <w:rFonts w:ascii="Inter" w:hAnsi="Inter"/>
          <w:color w:val="212529"/>
        </w:rPr>
        <w:t xml:space="preserve"> законодательство</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lastRenderedPageBreak/>
        <w:t xml:space="preserve">В подсистему </w:t>
      </w:r>
      <w:proofErr w:type="spellStart"/>
      <w:r>
        <w:rPr>
          <w:rFonts w:ascii="Inter" w:hAnsi="Inter"/>
          <w:color w:val="212529"/>
        </w:rPr>
        <w:t>природоресурсного</w:t>
      </w:r>
      <w:proofErr w:type="spellEnd"/>
      <w:r>
        <w:rPr>
          <w:rFonts w:ascii="Inter" w:hAnsi="Inter"/>
          <w:color w:val="212529"/>
        </w:rPr>
        <w:t xml:space="preserve"> законодательства входят:</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Земельный кодекс РФ (ФЗ № 136 от 25.10.2001 г.),</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Закон РФ от 21 февраля 1992 г. № 2395-1 «О недрах»,</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Лесной кодекс РФ (ФЗ № 200 от 04.12.2006 г.),</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xml:space="preserve">Водный кодекс </w:t>
      </w:r>
      <w:proofErr w:type="gramStart"/>
      <w:r>
        <w:rPr>
          <w:rFonts w:ascii="Inter" w:hAnsi="Inter"/>
          <w:color w:val="212529"/>
        </w:rPr>
        <w:t>РФ( ФЗ</w:t>
      </w:r>
      <w:proofErr w:type="gramEnd"/>
      <w:r>
        <w:rPr>
          <w:rFonts w:ascii="Inter" w:hAnsi="Inter"/>
          <w:color w:val="212529"/>
        </w:rPr>
        <w:t xml:space="preserve"> № 74 от 03.06.2006 г.),</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Федеральный закон от 24 апреля 1995 г. № 52-ФЗ «О животном мире», а также другие законодательные и нормативные акты субъектов РФ.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lastRenderedPageBreak/>
        <w:t>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 16 главах Закона закрепляются следующие правовые положения: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основы управления в области охраны окружающей среды;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права и обязанности граждан, общественных и иных некоммерческих объединений в области охраны окружающей среды;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экономическое регулирование в области охраны окружающей среды;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нормирование в области охраны окружающей среды;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оценка воздействия на окружающую среду и экологическая экспертиза;</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требования в области охраны окружающей среды при осуществлении хозяйственной деятельности;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зоны экологического бедствия, зоны чрезвычайных ситуаций;</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государственный мониторинг окружающей среды (государственный экологический мониторинг);</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контроль в области охраны окружающей среды (экологический контроль);</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научные исследования в области охраны окружающей среды;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основы формирования экологической культуры;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международное сотрудничество в области охраны окружающей среды.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xml:space="preserve">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w:t>
      </w:r>
      <w:proofErr w:type="gramStart"/>
      <w:r>
        <w:rPr>
          <w:rFonts w:ascii="Inter" w:hAnsi="Inter"/>
          <w:color w:val="212529"/>
        </w:rPr>
        <w:t>« Каждый</w:t>
      </w:r>
      <w:proofErr w:type="gramEnd"/>
      <w:r>
        <w:rPr>
          <w:rFonts w:ascii="Inter" w:hAnsi="Inter"/>
          <w:color w:val="212529"/>
        </w:rPr>
        <w:t xml:space="preserve"> имеет право на охрану здоровья. Право на охрану здоровья обеспечивается охраной окружающей среды…»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xml:space="preserve">Правовые нормы по охране природы и рациональному природопользованию содержатся и в других актах </w:t>
      </w:r>
      <w:proofErr w:type="spellStart"/>
      <w:r>
        <w:rPr>
          <w:rFonts w:ascii="Inter" w:hAnsi="Inter"/>
          <w:color w:val="212529"/>
        </w:rPr>
        <w:t>природоресурсного</w:t>
      </w:r>
      <w:proofErr w:type="spellEnd"/>
      <w:r>
        <w:rPr>
          <w:rFonts w:ascii="Inter" w:hAnsi="Inter"/>
          <w:color w:val="212529"/>
        </w:rPr>
        <w:t xml:space="preserve"> законодательства России. К ним относятся Лесной кодекс РФ, Водный кодекс РФ, Федеральный закон «О животном мире» и др.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lastRenderedPageBreak/>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Постановления Правительства РФ по вопросам экологии можно разбить на три группы.</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К первой группе относятся те, которые принимаются во исполнение закона для конкретизации отдельных положений.</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Вторая группа постановлений предназначена для определения компетенции органов управления и контроля.</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Третья группа постановлений включает нормативно-правовые акты дальнейшего правового регулирования экологических отношений.</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xml:space="preserve">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w:t>
      </w:r>
      <w:proofErr w:type="gramStart"/>
      <w:r>
        <w:rPr>
          <w:rFonts w:ascii="Inter" w:hAnsi="Inter"/>
          <w:color w:val="212529"/>
        </w:rPr>
        <w:t>Конституции РФ</w:t>
      </w:r>
      <w:proofErr w:type="gramEnd"/>
      <w:r>
        <w:rPr>
          <w:rFonts w:ascii="Inter" w:hAnsi="Inter"/>
          <w:color w:val="212529"/>
        </w:rPr>
        <w:t xml:space="preserve">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w:t>
      </w:r>
      <w:r>
        <w:rPr>
          <w:rFonts w:ascii="Inter" w:hAnsi="Inter"/>
          <w:color w:val="212529"/>
        </w:rPr>
        <w:lastRenderedPageBreak/>
        <w:t xml:space="preserve">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Pr>
          <w:rFonts w:ascii="Inter" w:hAnsi="Inter"/>
          <w:color w:val="212529"/>
        </w:rPr>
        <w:t>экологизация</w:t>
      </w:r>
      <w:proofErr w:type="spellEnd"/>
      <w:r>
        <w:rPr>
          <w:rFonts w:ascii="Inter" w:hAnsi="Inter"/>
          <w:color w:val="212529"/>
        </w:rPr>
        <w:t xml:space="preserve"> нормативных актов, регулирующих экономическую, хозяйственную и административную деятельность предприятий. Под </w:t>
      </w:r>
      <w:proofErr w:type="spellStart"/>
      <w:r>
        <w:rPr>
          <w:rFonts w:ascii="Inter" w:hAnsi="Inter"/>
          <w:color w:val="212529"/>
        </w:rPr>
        <w:t>экологизацией</w:t>
      </w:r>
      <w:proofErr w:type="spellEnd"/>
      <w:r>
        <w:rPr>
          <w:rFonts w:ascii="Inter" w:hAnsi="Inter"/>
          <w:color w:val="212529"/>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BB0ECC" w:rsidRDefault="00BB0ECC" w:rsidP="00BB0ECC">
      <w:pPr>
        <w:pStyle w:val="a3"/>
        <w:shd w:val="clear" w:color="auto" w:fill="FFFFFF"/>
        <w:spacing w:before="0" w:beforeAutospacing="0"/>
        <w:rPr>
          <w:rFonts w:ascii="Inter" w:hAnsi="Inter"/>
          <w:color w:val="212529"/>
        </w:rPr>
      </w:pPr>
      <w:r>
        <w:rPr>
          <w:rFonts w:ascii="Inter" w:hAnsi="Inter"/>
          <w:color w:val="212529"/>
        </w:rPr>
        <w:t xml:space="preserve">Берегите природу и ее экологическое </w:t>
      </w:r>
      <w:proofErr w:type="gramStart"/>
      <w:r>
        <w:rPr>
          <w:rFonts w:ascii="Inter" w:hAnsi="Inter"/>
          <w:color w:val="212529"/>
        </w:rPr>
        <w:t>состояние !</w:t>
      </w:r>
      <w:proofErr w:type="gramEnd"/>
    </w:p>
    <w:bookmarkEnd w:id="0"/>
    <w:p w:rsidR="00DD35BD" w:rsidRDefault="00DD35BD"/>
    <w:sectPr w:rsidR="00DD3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CC"/>
    <w:rsid w:val="00BB0ECC"/>
    <w:rsid w:val="00DD3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2EE8"/>
  <w15:chartTrackingRefBased/>
  <w15:docId w15:val="{430402C4-63D1-41C5-82E3-06AB1933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0E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nr.gov.ru/" TargetMode="External"/><Relationship Id="rId4" Type="http://schemas.openxmlformats.org/officeDocument/2006/relationships/hyperlink" Target="http://www.facepla.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3799</Words>
  <Characters>21659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SN122019027</dc:creator>
  <cp:keywords/>
  <dc:description/>
  <cp:lastModifiedBy>SN122019027</cp:lastModifiedBy>
  <cp:revision>1</cp:revision>
  <dcterms:created xsi:type="dcterms:W3CDTF">2024-08-06T09:53:00Z</dcterms:created>
  <dcterms:modified xsi:type="dcterms:W3CDTF">2024-08-06T09:56:00Z</dcterms:modified>
</cp:coreProperties>
</file>